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42794" w14:textId="77777777" w:rsidR="00A208DC" w:rsidRDefault="008C123E">
      <w:pPr>
        <w:pStyle w:val="a5"/>
        <w:jc w:val="center"/>
        <w:rPr>
          <w:rFonts w:asciiTheme="minorEastAsia" w:eastAsiaTheme="minorEastAsia" w:hAnsiTheme="minorEastAsia"/>
          <w:b/>
          <w:sz w:val="32"/>
          <w:szCs w:val="32"/>
        </w:rPr>
      </w:pPr>
      <w:r>
        <w:rPr>
          <w:rFonts w:asciiTheme="minorEastAsia" w:eastAsiaTheme="minorEastAsia" w:hAnsiTheme="minorEastAsia"/>
          <w:b/>
          <w:sz w:val="32"/>
          <w:szCs w:val="32"/>
        </w:rPr>
        <w:t>专业投资者资格认定告知及确认书</w:t>
      </w:r>
    </w:p>
    <w:p w14:paraId="620F18C1" w14:textId="77777777" w:rsidR="00A208DC" w:rsidRPr="00001AF8" w:rsidRDefault="008C123E">
      <w:pPr>
        <w:pStyle w:val="a5"/>
        <w:spacing w:line="360" w:lineRule="auto"/>
        <w:jc w:val="center"/>
        <w:rPr>
          <w:rFonts w:asciiTheme="minorEastAsia" w:eastAsiaTheme="minorEastAsia" w:hAnsiTheme="minorEastAsia"/>
          <w:bCs/>
          <w:sz w:val="18"/>
          <w:szCs w:val="18"/>
        </w:rPr>
      </w:pPr>
      <w:r w:rsidRPr="00001AF8">
        <w:rPr>
          <w:rFonts w:asciiTheme="minorEastAsia" w:eastAsiaTheme="minorEastAsia" w:hAnsiTheme="minorEastAsia" w:hint="eastAsia"/>
          <w:bCs/>
          <w:sz w:val="18"/>
          <w:szCs w:val="18"/>
        </w:rPr>
        <w:t>（</w:t>
      </w:r>
      <w:r w:rsidRPr="00001AF8">
        <w:rPr>
          <w:rFonts w:asciiTheme="minorEastAsia" w:eastAsiaTheme="minorEastAsia" w:hAnsiTheme="minorEastAsia"/>
          <w:bCs/>
          <w:sz w:val="18"/>
          <w:szCs w:val="18"/>
        </w:rPr>
        <w:t>适用符合《证券期货投资者适当性管理办法》第八条（一）、（二）、（三）条件的投资者）</w:t>
      </w:r>
    </w:p>
    <w:tbl>
      <w:tblPr>
        <w:tblStyle w:val="TableNormal"/>
        <w:tblW w:w="5000" w:type="pct"/>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78"/>
        <w:gridCol w:w="4677"/>
        <w:gridCol w:w="4065"/>
      </w:tblGrid>
      <w:tr w:rsidR="00A208DC" w14:paraId="37E0034C" w14:textId="77777777">
        <w:trPr>
          <w:trHeight w:val="334"/>
          <w:jc w:val="center"/>
        </w:trPr>
        <w:tc>
          <w:tcPr>
            <w:tcW w:w="5000" w:type="pct"/>
            <w:gridSpan w:val="3"/>
            <w:tcBorders>
              <w:top w:val="single" w:sz="12" w:space="0" w:color="auto"/>
              <w:left w:val="single" w:sz="12" w:space="0" w:color="auto"/>
              <w:right w:val="single" w:sz="12" w:space="0" w:color="auto"/>
            </w:tcBorders>
            <w:shd w:val="clear" w:color="auto" w:fill="D9D9D9" w:themeFill="background1" w:themeFillShade="D9"/>
            <w:vAlign w:val="center"/>
          </w:tcPr>
          <w:p w14:paraId="78358298" w14:textId="77777777" w:rsidR="00A208DC" w:rsidRDefault="008C123E">
            <w:pPr>
              <w:autoSpaceDE/>
              <w:autoSpaceDN/>
              <w:jc w:val="center"/>
              <w:rPr>
                <w:rFonts w:ascii="宋体" w:eastAsia="宋体" w:hAnsi="宋体" w:cs="宋体"/>
                <w:b/>
                <w:sz w:val="24"/>
                <w:szCs w:val="24"/>
                <w:lang w:val="en-US" w:bidi="ar-SA"/>
              </w:rPr>
            </w:pPr>
            <w:r>
              <w:rPr>
                <w:rFonts w:ascii="宋体" w:eastAsia="宋体" w:hAnsi="宋体" w:cs="宋体"/>
                <w:b/>
                <w:sz w:val="24"/>
                <w:szCs w:val="24"/>
                <w:lang w:val="en-US" w:bidi="ar-SA"/>
              </w:rPr>
              <w:t>投资人信息</w:t>
            </w:r>
          </w:p>
        </w:tc>
      </w:tr>
      <w:tr w:rsidR="00A208DC" w14:paraId="7D2177C6" w14:textId="77777777">
        <w:trPr>
          <w:trHeight w:val="567"/>
          <w:jc w:val="center"/>
        </w:trPr>
        <w:tc>
          <w:tcPr>
            <w:tcW w:w="2909" w:type="pct"/>
            <w:gridSpan w:val="2"/>
            <w:tcBorders>
              <w:top w:val="single" w:sz="12" w:space="0" w:color="auto"/>
              <w:left w:val="single" w:sz="12" w:space="0" w:color="auto"/>
              <w:right w:val="nil"/>
            </w:tcBorders>
            <w:vAlign w:val="center"/>
          </w:tcPr>
          <w:p w14:paraId="27EB3AAD" w14:textId="77777777" w:rsidR="00A208DC" w:rsidRDefault="008C123E">
            <w:pPr>
              <w:spacing w:before="240" w:line="360" w:lineRule="auto"/>
              <w:rPr>
                <w:rFonts w:asciiTheme="minorEastAsia" w:eastAsiaTheme="minorEastAsia" w:hAnsiTheme="minorEastAsia" w:cs="宋体"/>
                <w:u w:val="single"/>
              </w:rPr>
            </w:pPr>
            <w:r>
              <w:rPr>
                <w:rFonts w:asciiTheme="minorEastAsia" w:eastAsiaTheme="minorEastAsia" w:hAnsiTheme="minorEastAsia" w:cs="宋体" w:hint="eastAsia"/>
              </w:rPr>
              <w:t>投资人全称：</w:t>
            </w:r>
            <w:r>
              <w:rPr>
                <w:rFonts w:asciiTheme="minorEastAsia" w:eastAsiaTheme="minorEastAsia" w:hAnsiTheme="minorEastAsia" w:cs="宋体" w:hint="eastAsia"/>
                <w:u w:val="single"/>
              </w:rPr>
              <w:t xml:space="preserve">                                </w:t>
            </w:r>
            <w:r>
              <w:rPr>
                <w:rFonts w:asciiTheme="minorEastAsia" w:eastAsiaTheme="minorEastAsia" w:hAnsiTheme="minorEastAsia" w:cs="宋体"/>
                <w:u w:val="single"/>
              </w:rPr>
              <w:t xml:space="preserve">    </w:t>
            </w:r>
            <w:r>
              <w:rPr>
                <w:rFonts w:asciiTheme="minorEastAsia" w:eastAsiaTheme="minorEastAsia" w:hAnsiTheme="minorEastAsia" w:cs="宋体" w:hint="eastAsia"/>
                <w:u w:val="single"/>
              </w:rPr>
              <w:t xml:space="preserve"> </w:t>
            </w:r>
          </w:p>
        </w:tc>
        <w:tc>
          <w:tcPr>
            <w:tcW w:w="2091" w:type="pct"/>
            <w:tcBorders>
              <w:top w:val="single" w:sz="12" w:space="0" w:color="auto"/>
              <w:left w:val="nil"/>
              <w:right w:val="single" w:sz="12" w:space="0" w:color="auto"/>
            </w:tcBorders>
          </w:tcPr>
          <w:p w14:paraId="0636BDF1" w14:textId="77777777" w:rsidR="00A208DC" w:rsidRDefault="008C123E">
            <w:pPr>
              <w:spacing w:before="240"/>
              <w:jc w:val="both"/>
              <w:rPr>
                <w:rFonts w:asciiTheme="minorEastAsia" w:eastAsiaTheme="minorEastAsia" w:hAnsiTheme="minorEastAsia" w:cs="宋体"/>
              </w:rPr>
            </w:pPr>
            <w:r>
              <w:rPr>
                <w:rFonts w:asciiTheme="minorEastAsia" w:eastAsiaTheme="minorEastAsia" w:hAnsiTheme="minorEastAsia" w:cs="宋体" w:hint="eastAsia"/>
              </w:rPr>
              <w:t>交易账号：</w:t>
            </w:r>
            <w:r>
              <w:rPr>
                <w:rFonts w:asciiTheme="minorEastAsia" w:eastAsiaTheme="minorEastAsia" w:hAnsiTheme="minorEastAsia" w:cs="宋体" w:hint="eastAsia"/>
                <w:u w:val="single"/>
              </w:rPr>
              <w:t xml:space="preserve">                         </w:t>
            </w:r>
          </w:p>
        </w:tc>
      </w:tr>
      <w:tr w:rsidR="00A208DC" w14:paraId="35BB4400" w14:textId="77777777">
        <w:trPr>
          <w:trHeight w:val="2947"/>
          <w:jc w:val="center"/>
        </w:trPr>
        <w:tc>
          <w:tcPr>
            <w:tcW w:w="503" w:type="pct"/>
            <w:tcBorders>
              <w:top w:val="single" w:sz="12" w:space="0" w:color="auto"/>
              <w:left w:val="single" w:sz="12" w:space="0" w:color="auto"/>
              <w:bottom w:val="single" w:sz="8" w:space="0" w:color="auto"/>
            </w:tcBorders>
            <w:vAlign w:val="center"/>
          </w:tcPr>
          <w:p w14:paraId="07FCF419" w14:textId="77777777" w:rsidR="00A208DC" w:rsidRDefault="008C123E">
            <w:pPr>
              <w:pStyle w:val="TableParagraph"/>
              <w:spacing w:line="360" w:lineRule="auto"/>
              <w:ind w:left="57"/>
              <w:jc w:val="center"/>
              <w:rPr>
                <w:rFonts w:asciiTheme="minorEastAsia" w:eastAsiaTheme="minorEastAsia" w:hAnsiTheme="minorEastAsia"/>
                <w:b/>
              </w:rPr>
            </w:pPr>
            <w:r>
              <w:rPr>
                <w:rFonts w:asciiTheme="minorEastAsia" w:eastAsiaTheme="minorEastAsia" w:hAnsiTheme="minorEastAsia" w:hint="eastAsia"/>
                <w:b/>
              </w:rPr>
              <w:t>专业投资者告知书</w:t>
            </w:r>
          </w:p>
        </w:tc>
        <w:tc>
          <w:tcPr>
            <w:tcW w:w="4497" w:type="pct"/>
            <w:gridSpan w:val="2"/>
            <w:tcBorders>
              <w:top w:val="single" w:sz="12" w:space="0" w:color="auto"/>
              <w:bottom w:val="single" w:sz="8" w:space="0" w:color="auto"/>
              <w:right w:val="single" w:sz="12" w:space="0" w:color="auto"/>
            </w:tcBorders>
          </w:tcPr>
          <w:p w14:paraId="0E2D1EA7" w14:textId="77777777" w:rsidR="00A208DC" w:rsidRDefault="008C123E">
            <w:pPr>
              <w:pStyle w:val="TableParagraph"/>
              <w:spacing w:before="240" w:line="360" w:lineRule="auto"/>
              <w:rPr>
                <w:rFonts w:asciiTheme="minorEastAsia" w:eastAsiaTheme="minorEastAsia" w:hAnsiTheme="minorEastAsia"/>
              </w:rPr>
            </w:pPr>
            <w:r>
              <w:rPr>
                <w:rFonts w:asciiTheme="minorEastAsia" w:eastAsiaTheme="minorEastAsia" w:hAnsiTheme="minorEastAsia" w:hint="eastAsia"/>
              </w:rPr>
              <w:t>尊敬的</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rPr>
              <w:t>：</w:t>
            </w:r>
          </w:p>
          <w:p w14:paraId="73FDAFA7" w14:textId="77777777" w:rsidR="00A208DC" w:rsidRDefault="008C123E">
            <w:pPr>
              <w:pStyle w:val="TableParagraph"/>
              <w:spacing w:line="360" w:lineRule="auto"/>
              <w:ind w:firstLine="444"/>
              <w:rPr>
                <w:rFonts w:asciiTheme="minorEastAsia" w:eastAsiaTheme="minorEastAsia" w:hAnsiTheme="minorEastAsia"/>
              </w:rPr>
            </w:pPr>
            <w:r>
              <w:rPr>
                <w:rFonts w:asciiTheme="minorEastAsia" w:eastAsiaTheme="minorEastAsia" w:hAnsiTheme="minorEastAsia"/>
              </w:rPr>
              <w:t>根据</w:t>
            </w:r>
            <w:r>
              <w:rPr>
                <w:rFonts w:asciiTheme="minorEastAsia" w:eastAsiaTheme="minorEastAsia" w:hAnsiTheme="minorEastAsia" w:hint="eastAsia"/>
              </w:rPr>
              <w:t>贵单位</w:t>
            </w:r>
            <w:r>
              <w:rPr>
                <w:rFonts w:asciiTheme="minorEastAsia" w:eastAsiaTheme="minorEastAsia" w:hAnsiTheme="minorEastAsia"/>
              </w:rPr>
              <w:t>填写的《开户申请表》及</w:t>
            </w:r>
            <w:r>
              <w:rPr>
                <w:rFonts w:asciiTheme="minorEastAsia" w:eastAsiaTheme="minorEastAsia" w:hAnsiTheme="minorEastAsia" w:hint="eastAsia"/>
              </w:rPr>
              <w:t>提供的</w:t>
            </w:r>
            <w:r>
              <w:rPr>
                <w:rFonts w:asciiTheme="minorEastAsia" w:eastAsiaTheme="minorEastAsia" w:hAnsiTheme="minorEastAsia"/>
              </w:rPr>
              <w:t>相关证明资料，</w:t>
            </w:r>
            <w:r>
              <w:rPr>
                <w:rFonts w:asciiTheme="minorEastAsia" w:eastAsiaTheme="minorEastAsia" w:hAnsiTheme="minorEastAsia" w:hint="eastAsia"/>
              </w:rPr>
              <w:t>贵单位属于下列类型的机构之一：</w:t>
            </w:r>
          </w:p>
          <w:p w14:paraId="66488257" w14:textId="77777777" w:rsidR="00A208DC" w:rsidRDefault="008C123E">
            <w:pPr>
              <w:pStyle w:val="TableParagraph"/>
              <w:spacing w:line="360" w:lineRule="auto"/>
              <w:ind w:firstLine="444"/>
              <w:rPr>
                <w:rFonts w:asciiTheme="minorEastAsia" w:eastAsiaTheme="minorEastAsia" w:hAnsiTheme="minorEastAsia"/>
              </w:rPr>
            </w:pPr>
            <w:r>
              <w:rPr>
                <w:rFonts w:asciiTheme="minorEastAsia" w:eastAsiaTheme="minorEastAsia" w:hAnsiTheme="minorEastAsia"/>
              </w:rPr>
              <w:t>□ 经有关金融监管部门批准设立的金融机构，包括证券公司、期货公司、基金管理公司及其子公司、商业银行、保险公司、信托公司、财务公司等；经行业协会备案或者登记的证券公司子公司、期货公司子公司、私募基金管理人</w:t>
            </w:r>
            <w:r>
              <w:rPr>
                <w:rFonts w:asciiTheme="minorEastAsia" w:eastAsiaTheme="minorEastAsia" w:hAnsiTheme="minorEastAsia" w:hint="eastAsia"/>
              </w:rPr>
              <w:t>。</w:t>
            </w:r>
          </w:p>
          <w:p w14:paraId="06BD3A5F" w14:textId="77777777" w:rsidR="00A208DC" w:rsidRDefault="008C123E">
            <w:pPr>
              <w:pStyle w:val="TableParagraph"/>
              <w:spacing w:line="360" w:lineRule="auto"/>
              <w:ind w:firstLine="444"/>
              <w:rPr>
                <w:rFonts w:asciiTheme="minorEastAsia" w:eastAsiaTheme="minorEastAsia" w:hAnsiTheme="minorEastAsia"/>
              </w:rPr>
            </w:pPr>
            <w:r>
              <w:rPr>
                <w:rFonts w:asciiTheme="minorEastAsia" w:eastAsiaTheme="minorEastAsia" w:hAnsiTheme="minorEastAsia"/>
              </w:rPr>
              <w:t>□ 上述机构面向投资者发行的理财产品，包括但不限于证券公司资产管理产品、基金管理公司及其子公司产品、期货公司资产管理产品、银行理财产品、保险产品、信托产品、经行业协会备案的私募基金</w:t>
            </w:r>
            <w:r>
              <w:rPr>
                <w:rFonts w:asciiTheme="minorEastAsia" w:eastAsiaTheme="minorEastAsia" w:hAnsiTheme="minorEastAsia" w:hint="eastAsia"/>
              </w:rPr>
              <w:t>。</w:t>
            </w:r>
          </w:p>
          <w:p w14:paraId="2474FE2B" w14:textId="77777777" w:rsidR="00A208DC" w:rsidRDefault="008C123E">
            <w:pPr>
              <w:pStyle w:val="TableParagraph"/>
              <w:spacing w:line="360" w:lineRule="auto"/>
              <w:ind w:firstLine="444"/>
              <w:rPr>
                <w:rFonts w:asciiTheme="minorEastAsia" w:eastAsiaTheme="minorEastAsia" w:hAnsiTheme="minorEastAsia"/>
              </w:rPr>
            </w:pPr>
            <w:r>
              <w:rPr>
                <w:rFonts w:asciiTheme="minorEastAsia" w:eastAsiaTheme="minorEastAsia" w:hAnsiTheme="minorEastAsia"/>
              </w:rPr>
              <w:t>□ 社会保障基金、企业年金等养老基金，慈善基金等社会公益基金，合格境外机构投资者（QFII）、人民币合格境外机构投资者（RQFII）</w:t>
            </w:r>
            <w:r>
              <w:rPr>
                <w:rFonts w:asciiTheme="minorEastAsia" w:eastAsiaTheme="minorEastAsia" w:hAnsiTheme="minorEastAsia" w:hint="eastAsia"/>
              </w:rPr>
              <w:t>。</w:t>
            </w:r>
          </w:p>
          <w:p w14:paraId="4CE6CD18" w14:textId="35101CE9" w:rsidR="00A208DC" w:rsidRDefault="008C123E" w:rsidP="00001AF8">
            <w:pPr>
              <w:pStyle w:val="TableParagraph"/>
              <w:spacing w:line="360" w:lineRule="auto"/>
              <w:ind w:firstLine="444"/>
              <w:rPr>
                <w:rFonts w:asciiTheme="minorEastAsia" w:eastAsiaTheme="minorEastAsia" w:hAnsiTheme="minorEastAsia"/>
              </w:rPr>
            </w:pPr>
            <w:r>
              <w:rPr>
                <w:rFonts w:asciiTheme="minorEastAsia" w:eastAsiaTheme="minorEastAsia" w:hAnsiTheme="minorEastAsia"/>
                <w:b/>
                <w:bCs/>
              </w:rPr>
              <w:t>根据《证券期货投资者适当性管理办法》的相关规定,</w:t>
            </w:r>
            <w:r>
              <w:rPr>
                <w:rFonts w:asciiTheme="minorEastAsia" w:eastAsiaTheme="minorEastAsia" w:hAnsiTheme="minorEastAsia" w:hint="eastAsia"/>
                <w:b/>
                <w:bCs/>
              </w:rPr>
              <w:t>贵单位</w:t>
            </w:r>
            <w:r>
              <w:rPr>
                <w:rFonts w:asciiTheme="minorEastAsia" w:eastAsiaTheme="minorEastAsia" w:hAnsiTheme="minorEastAsia"/>
                <w:b/>
                <w:bCs/>
              </w:rPr>
              <w:t>被划分为专业投资者，特此告知。</w:t>
            </w:r>
          </w:p>
          <w:p w14:paraId="4D56F333" w14:textId="77777777" w:rsidR="00A208DC" w:rsidRDefault="008C123E">
            <w:pPr>
              <w:pStyle w:val="TableParagraph"/>
              <w:spacing w:line="360" w:lineRule="auto"/>
              <w:ind w:right="220" w:firstLine="444"/>
              <w:jc w:val="right"/>
              <w:rPr>
                <w:rFonts w:asciiTheme="minorEastAsia" w:eastAsiaTheme="minorEastAsia" w:hAnsiTheme="minorEastAsia"/>
              </w:rPr>
            </w:pPr>
            <w:r>
              <w:rPr>
                <w:rFonts w:asciiTheme="minorEastAsia" w:eastAsiaTheme="minorEastAsia" w:hAnsiTheme="minorEastAsia" w:hint="eastAsia"/>
              </w:rPr>
              <w:t>博</w:t>
            </w:r>
            <w:proofErr w:type="gramStart"/>
            <w:r>
              <w:rPr>
                <w:rFonts w:asciiTheme="minorEastAsia" w:eastAsiaTheme="minorEastAsia" w:hAnsiTheme="minorEastAsia" w:hint="eastAsia"/>
              </w:rPr>
              <w:t>远基金</w:t>
            </w:r>
            <w:proofErr w:type="gramEnd"/>
            <w:r>
              <w:rPr>
                <w:rFonts w:asciiTheme="minorEastAsia" w:eastAsiaTheme="minorEastAsia" w:hAnsiTheme="minorEastAsia" w:hint="eastAsia"/>
              </w:rPr>
              <w:t>管理有限公司</w:t>
            </w:r>
          </w:p>
          <w:p w14:paraId="1BBCD16F" w14:textId="77777777" w:rsidR="00A208DC" w:rsidRDefault="008C123E">
            <w:pPr>
              <w:pStyle w:val="TableParagraph"/>
              <w:spacing w:line="360" w:lineRule="auto"/>
              <w:ind w:firstLine="444"/>
              <w:jc w:val="right"/>
              <w:rPr>
                <w:rFonts w:asciiTheme="minorEastAsia" w:eastAsiaTheme="minorEastAsia" w:hAnsiTheme="minorEastAsia"/>
              </w:rPr>
            </w:pPr>
            <w:r>
              <w:rPr>
                <w:rFonts w:asciiTheme="minorEastAsia" w:eastAsiaTheme="minorEastAsia" w:hAnsiTheme="minorEastAsia" w:hint="eastAsia"/>
              </w:rPr>
              <w:t xml:space="preserve">日期： </w:t>
            </w:r>
            <w:r>
              <w:rPr>
                <w:rFonts w:asciiTheme="minorEastAsia" w:eastAsiaTheme="minorEastAsia" w:hAnsiTheme="minorEastAsia"/>
              </w:rPr>
              <w:t xml:space="preserve">    年   月   </w:t>
            </w:r>
            <w:r>
              <w:rPr>
                <w:rFonts w:asciiTheme="minorEastAsia" w:eastAsiaTheme="minorEastAsia" w:hAnsiTheme="minorEastAsia"/>
                <w:spacing w:val="-1"/>
              </w:rPr>
              <w:t>日</w:t>
            </w:r>
          </w:p>
        </w:tc>
      </w:tr>
      <w:tr w:rsidR="00A208DC" w14:paraId="15F64C46" w14:textId="77777777">
        <w:trPr>
          <w:trHeight w:val="2947"/>
          <w:jc w:val="center"/>
        </w:trPr>
        <w:tc>
          <w:tcPr>
            <w:tcW w:w="503" w:type="pct"/>
            <w:tcBorders>
              <w:top w:val="single" w:sz="8" w:space="0" w:color="auto"/>
              <w:left w:val="single" w:sz="12" w:space="0" w:color="auto"/>
              <w:bottom w:val="single" w:sz="12" w:space="0" w:color="auto"/>
            </w:tcBorders>
            <w:vAlign w:val="center"/>
          </w:tcPr>
          <w:p w14:paraId="6C2C8213" w14:textId="77777777" w:rsidR="00A208DC" w:rsidRDefault="008C123E">
            <w:pPr>
              <w:pStyle w:val="TableParagraph"/>
              <w:spacing w:line="360" w:lineRule="auto"/>
              <w:ind w:left="57"/>
              <w:jc w:val="center"/>
              <w:rPr>
                <w:rFonts w:asciiTheme="minorEastAsia" w:eastAsiaTheme="minorEastAsia" w:hAnsiTheme="minorEastAsia"/>
                <w:b/>
              </w:rPr>
            </w:pPr>
            <w:r>
              <w:rPr>
                <w:rFonts w:asciiTheme="minorEastAsia" w:eastAsiaTheme="minorEastAsia" w:hAnsiTheme="minorEastAsia" w:hint="eastAsia"/>
                <w:b/>
              </w:rPr>
              <w:t>专业投资者确认书</w:t>
            </w:r>
          </w:p>
        </w:tc>
        <w:tc>
          <w:tcPr>
            <w:tcW w:w="4497" w:type="pct"/>
            <w:gridSpan w:val="2"/>
            <w:tcBorders>
              <w:top w:val="single" w:sz="8" w:space="0" w:color="auto"/>
              <w:bottom w:val="single" w:sz="12" w:space="0" w:color="auto"/>
              <w:right w:val="single" w:sz="12" w:space="0" w:color="auto"/>
            </w:tcBorders>
          </w:tcPr>
          <w:p w14:paraId="0286F716" w14:textId="77777777" w:rsidR="00A208DC" w:rsidRDefault="008C123E">
            <w:pPr>
              <w:pStyle w:val="TableParagraph"/>
              <w:spacing w:before="240" w:line="360" w:lineRule="auto"/>
              <w:rPr>
                <w:rFonts w:asciiTheme="minorEastAsia" w:eastAsiaTheme="minorEastAsia" w:hAnsiTheme="minorEastAsia"/>
              </w:rPr>
            </w:pPr>
            <w:r>
              <w:rPr>
                <w:rFonts w:asciiTheme="minorEastAsia" w:eastAsiaTheme="minorEastAsia" w:hAnsiTheme="minorEastAsia" w:hint="eastAsia"/>
              </w:rPr>
              <w:t>博</w:t>
            </w:r>
            <w:proofErr w:type="gramStart"/>
            <w:r>
              <w:rPr>
                <w:rFonts w:asciiTheme="minorEastAsia" w:eastAsiaTheme="minorEastAsia" w:hAnsiTheme="minorEastAsia" w:hint="eastAsia"/>
              </w:rPr>
              <w:t>远基金</w:t>
            </w:r>
            <w:proofErr w:type="gramEnd"/>
            <w:r>
              <w:rPr>
                <w:rFonts w:asciiTheme="minorEastAsia" w:eastAsiaTheme="minorEastAsia" w:hAnsiTheme="minorEastAsia" w:hint="eastAsia"/>
              </w:rPr>
              <w:t>管理有限公司：</w:t>
            </w:r>
          </w:p>
          <w:p w14:paraId="0EC1B4ED" w14:textId="291CBDDF" w:rsidR="00A208DC" w:rsidRDefault="008C123E">
            <w:pPr>
              <w:pStyle w:val="TableParagraph"/>
              <w:spacing w:line="360" w:lineRule="auto"/>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   </w:t>
            </w:r>
            <w:r>
              <w:rPr>
                <w:rFonts w:asciiTheme="minorEastAsia" w:eastAsiaTheme="minorEastAsia" w:hAnsiTheme="minorEastAsia"/>
                <w:b/>
              </w:rPr>
              <w:t>本</w:t>
            </w:r>
            <w:r>
              <w:rPr>
                <w:rFonts w:asciiTheme="minorEastAsia" w:eastAsiaTheme="minorEastAsia" w:hAnsiTheme="minorEastAsia" w:hint="eastAsia"/>
                <w:b/>
              </w:rPr>
              <w:t>投资人</w:t>
            </w:r>
            <w:r>
              <w:rPr>
                <w:rFonts w:asciiTheme="minorEastAsia" w:eastAsiaTheme="minorEastAsia" w:hAnsiTheme="minorEastAsia"/>
                <w:b/>
              </w:rPr>
              <w:t>已知悉本</w:t>
            </w:r>
            <w:r>
              <w:rPr>
                <w:rFonts w:asciiTheme="minorEastAsia" w:eastAsiaTheme="minorEastAsia" w:hAnsiTheme="minorEastAsia" w:hint="eastAsia"/>
                <w:b/>
              </w:rPr>
              <w:t>投资人</w:t>
            </w:r>
            <w:r>
              <w:rPr>
                <w:rFonts w:asciiTheme="minorEastAsia" w:eastAsiaTheme="minorEastAsia" w:hAnsiTheme="minorEastAsia"/>
                <w:b/>
              </w:rPr>
              <w:t>在贵司被划分为专业投资者，并了解贵司对专业投资者和普通投资者在履行适当性职责方面的区别</w:t>
            </w:r>
            <w:r>
              <w:rPr>
                <w:rFonts w:asciiTheme="minorEastAsia" w:eastAsiaTheme="minorEastAsia" w:hAnsiTheme="minorEastAsia" w:hint="eastAsia"/>
                <w:b/>
              </w:rPr>
              <w:t>。本投资人</w:t>
            </w:r>
            <w:r>
              <w:rPr>
                <w:rFonts w:asciiTheme="minorEastAsia" w:eastAsiaTheme="minorEastAsia" w:hAnsiTheme="minorEastAsia"/>
                <w:b/>
              </w:rPr>
              <w:t>确认已知晓贵</w:t>
            </w:r>
            <w:proofErr w:type="gramStart"/>
            <w:r>
              <w:rPr>
                <w:rFonts w:asciiTheme="minorEastAsia" w:eastAsiaTheme="minorEastAsia" w:hAnsiTheme="minorEastAsia"/>
                <w:b/>
              </w:rPr>
              <w:t>司</w:t>
            </w:r>
            <w:r>
              <w:rPr>
                <w:rFonts w:asciiTheme="minorEastAsia" w:eastAsiaTheme="minorEastAsia" w:hAnsiTheme="minorEastAsia" w:hint="eastAsia"/>
                <w:b/>
                <w:lang w:val="en-US"/>
              </w:rPr>
              <w:t>对于</w:t>
            </w:r>
            <w:proofErr w:type="gramEnd"/>
            <w:r>
              <w:rPr>
                <w:rFonts w:asciiTheme="minorEastAsia" w:eastAsiaTheme="minorEastAsia" w:hAnsiTheme="minorEastAsia" w:hint="eastAsia"/>
                <w:b/>
                <w:lang w:val="en-US"/>
              </w:rPr>
              <w:t>购买基金或者接受相关服务的</w:t>
            </w:r>
            <w:r>
              <w:rPr>
                <w:rFonts w:asciiTheme="minorEastAsia" w:eastAsiaTheme="minorEastAsia" w:hAnsiTheme="minorEastAsia"/>
                <w:b/>
              </w:rPr>
              <w:t>专业投资者</w:t>
            </w:r>
            <w:r>
              <w:rPr>
                <w:rFonts w:asciiTheme="minorEastAsia" w:eastAsiaTheme="minorEastAsia" w:hAnsiTheme="minorEastAsia" w:hint="eastAsia"/>
                <w:b/>
                <w:lang w:val="en-US"/>
              </w:rPr>
              <w:t>不</w:t>
            </w:r>
            <w:r>
              <w:rPr>
                <w:rFonts w:asciiTheme="minorEastAsia" w:eastAsiaTheme="minorEastAsia" w:hAnsiTheme="minorEastAsia" w:hint="eastAsia"/>
                <w:b/>
              </w:rPr>
              <w:t>进行</w:t>
            </w:r>
            <w:r>
              <w:rPr>
                <w:rFonts w:asciiTheme="minorEastAsia" w:eastAsiaTheme="minorEastAsia" w:hAnsiTheme="minorEastAsia" w:hint="eastAsia"/>
                <w:b/>
                <w:lang w:val="en-US"/>
              </w:rPr>
              <w:t>细化分类管理及风险承受能力等级的评定</w:t>
            </w:r>
            <w:r>
              <w:rPr>
                <w:rFonts w:asciiTheme="minorEastAsia" w:eastAsiaTheme="minorEastAsia" w:hAnsiTheme="minorEastAsia" w:hint="eastAsia"/>
                <w:b/>
              </w:rPr>
              <w:t>。</w:t>
            </w:r>
            <w:r>
              <w:rPr>
                <w:rFonts w:asciiTheme="minorEastAsia" w:eastAsiaTheme="minorEastAsia" w:hAnsiTheme="minorEastAsia"/>
                <w:b/>
              </w:rPr>
              <w:t>对于贵司销售的</w:t>
            </w:r>
            <w:r>
              <w:rPr>
                <w:rFonts w:asciiTheme="minorEastAsia" w:eastAsiaTheme="minorEastAsia" w:hAnsiTheme="minorEastAsia" w:hint="eastAsia"/>
                <w:b/>
              </w:rPr>
              <w:t>基金</w:t>
            </w:r>
            <w:r>
              <w:rPr>
                <w:rFonts w:asciiTheme="minorEastAsia" w:eastAsiaTheme="minorEastAsia" w:hAnsiTheme="minorEastAsia"/>
                <w:b/>
              </w:rPr>
              <w:t>产品</w:t>
            </w:r>
            <w:r>
              <w:rPr>
                <w:rFonts w:asciiTheme="minorEastAsia" w:eastAsiaTheme="minorEastAsia" w:hAnsiTheme="minorEastAsia" w:hint="eastAsia"/>
                <w:b/>
              </w:rPr>
              <w:t>或</w:t>
            </w:r>
            <w:r>
              <w:rPr>
                <w:rFonts w:asciiTheme="minorEastAsia" w:eastAsiaTheme="minorEastAsia" w:hAnsiTheme="minorEastAsia" w:hint="eastAsia"/>
                <w:b/>
                <w:lang w:val="en-US"/>
              </w:rPr>
              <w:t>提供的</w:t>
            </w:r>
            <w:r>
              <w:rPr>
                <w:rFonts w:asciiTheme="minorEastAsia" w:eastAsiaTheme="minorEastAsia" w:hAnsiTheme="minorEastAsia" w:hint="eastAsia"/>
                <w:b/>
              </w:rPr>
              <w:t>相关服务，</w:t>
            </w:r>
            <w:r>
              <w:rPr>
                <w:rFonts w:asciiTheme="minorEastAsia" w:eastAsiaTheme="minorEastAsia" w:hAnsiTheme="minorEastAsia"/>
                <w:b/>
              </w:rPr>
              <w:t>本投资人能够自行进行专业判断，自行承担超出风险承受能力的投资后果</w:t>
            </w:r>
            <w:r>
              <w:rPr>
                <w:rFonts w:asciiTheme="minorEastAsia" w:eastAsiaTheme="minorEastAsia" w:hAnsiTheme="minorEastAsia"/>
              </w:rPr>
              <w:t>。</w:t>
            </w:r>
          </w:p>
          <w:p w14:paraId="3846A8D7" w14:textId="77777777" w:rsidR="00A208DC" w:rsidRDefault="00A208DC">
            <w:pPr>
              <w:pStyle w:val="TableParagraph"/>
              <w:spacing w:line="360" w:lineRule="auto"/>
              <w:ind w:firstLineChars="200" w:firstLine="440"/>
              <w:rPr>
                <w:rFonts w:asciiTheme="minorEastAsia" w:eastAsiaTheme="minorEastAsia" w:hAnsiTheme="minorEastAsia"/>
              </w:rPr>
            </w:pPr>
          </w:p>
          <w:p w14:paraId="09C80831" w14:textId="77777777" w:rsidR="00A208DC" w:rsidRDefault="008C123E" w:rsidP="00F25857">
            <w:pPr>
              <w:pStyle w:val="TableParagraph"/>
              <w:spacing w:line="360" w:lineRule="auto"/>
              <w:rPr>
                <w:rFonts w:asciiTheme="minorEastAsia" w:eastAsiaTheme="minorEastAsia" w:hAnsiTheme="minorEastAsia"/>
              </w:rPr>
            </w:pPr>
            <w:r>
              <w:rPr>
                <w:rFonts w:asciiTheme="minorEastAsia" w:eastAsiaTheme="minorEastAsia" w:hAnsiTheme="minorEastAsia"/>
              </w:rPr>
              <w:t>法</w:t>
            </w:r>
            <w:r>
              <w:rPr>
                <w:rFonts w:asciiTheme="minorEastAsia" w:eastAsiaTheme="minorEastAsia" w:hAnsiTheme="minorEastAsia" w:hint="eastAsia"/>
                <w:lang w:val="en-US"/>
              </w:rPr>
              <w:t>定代表</w:t>
            </w:r>
            <w:r>
              <w:rPr>
                <w:rFonts w:asciiTheme="minorEastAsia" w:eastAsiaTheme="minorEastAsia" w:hAnsiTheme="minorEastAsia"/>
              </w:rPr>
              <w:t>人/</w:t>
            </w:r>
            <w:r>
              <w:rPr>
                <w:rFonts w:asciiTheme="minorEastAsia" w:eastAsiaTheme="minorEastAsia" w:hAnsiTheme="minorEastAsia" w:hint="eastAsia"/>
                <w:lang w:val="en-US"/>
              </w:rPr>
              <w:t>授权</w:t>
            </w:r>
            <w:r>
              <w:rPr>
                <w:rFonts w:asciiTheme="minorEastAsia" w:eastAsiaTheme="minorEastAsia" w:hAnsiTheme="minorEastAsia"/>
              </w:rPr>
              <w:t>经办人签字/盖章：</w:t>
            </w:r>
          </w:p>
          <w:p w14:paraId="59EEE93C" w14:textId="77777777" w:rsidR="00A208DC" w:rsidRDefault="00A208DC">
            <w:pPr>
              <w:pStyle w:val="TableParagraph"/>
              <w:spacing w:line="360" w:lineRule="auto"/>
              <w:ind w:firstLineChars="200" w:firstLine="440"/>
              <w:rPr>
                <w:rFonts w:asciiTheme="minorEastAsia" w:eastAsiaTheme="minorEastAsia" w:hAnsiTheme="minorEastAsia"/>
              </w:rPr>
            </w:pPr>
          </w:p>
          <w:p w14:paraId="082A8D46" w14:textId="4EACCCCF" w:rsidR="00A208DC" w:rsidRDefault="008C123E" w:rsidP="00F25857">
            <w:pPr>
              <w:pStyle w:val="TableParagraph"/>
              <w:spacing w:line="360" w:lineRule="auto"/>
              <w:rPr>
                <w:rFonts w:asciiTheme="minorEastAsia" w:eastAsiaTheme="minorEastAsia" w:hAnsiTheme="minorEastAsia"/>
              </w:rPr>
            </w:pPr>
            <w:bookmarkStart w:id="0" w:name="_GoBack"/>
            <w:bookmarkEnd w:id="0"/>
            <w:r>
              <w:rPr>
                <w:rFonts w:asciiTheme="minorEastAsia" w:eastAsiaTheme="minorEastAsia" w:hAnsiTheme="minorEastAsia" w:hint="eastAsia"/>
              </w:rPr>
              <w:t>公章</w:t>
            </w:r>
            <w:r>
              <w:rPr>
                <w:rFonts w:asciiTheme="minorEastAsia" w:eastAsiaTheme="minorEastAsia" w:hAnsiTheme="minorEastAsia"/>
              </w:rPr>
              <w:t>：</w:t>
            </w:r>
          </w:p>
          <w:p w14:paraId="637A78D0" w14:textId="77777777" w:rsidR="00A208DC" w:rsidRDefault="00A208DC">
            <w:pPr>
              <w:pStyle w:val="TableParagraph"/>
              <w:spacing w:line="360" w:lineRule="auto"/>
              <w:ind w:firstLineChars="200" w:firstLine="440"/>
              <w:rPr>
                <w:rFonts w:asciiTheme="minorEastAsia" w:eastAsiaTheme="minorEastAsia" w:hAnsiTheme="minorEastAsia"/>
              </w:rPr>
            </w:pPr>
          </w:p>
          <w:p w14:paraId="6C79C137" w14:textId="77777777" w:rsidR="00A208DC" w:rsidRDefault="008C123E">
            <w:pPr>
              <w:pStyle w:val="TableParagraph"/>
              <w:spacing w:line="360" w:lineRule="auto"/>
              <w:ind w:firstLineChars="200" w:firstLine="440"/>
              <w:jc w:val="right"/>
              <w:rPr>
                <w:rFonts w:asciiTheme="minorEastAsia" w:eastAsiaTheme="minorEastAsia" w:hAnsiTheme="minorEastAsia"/>
              </w:rPr>
            </w:pPr>
            <w:r>
              <w:rPr>
                <w:rFonts w:asciiTheme="minorEastAsia" w:eastAsiaTheme="minorEastAsia" w:hAnsiTheme="minorEastAsia" w:hint="eastAsia"/>
              </w:rPr>
              <w:t xml:space="preserve">日期： </w:t>
            </w:r>
            <w:r>
              <w:rPr>
                <w:rFonts w:asciiTheme="minorEastAsia" w:eastAsiaTheme="minorEastAsia" w:hAnsiTheme="minorEastAsia"/>
              </w:rPr>
              <w:t xml:space="preserve">    年   月   </w:t>
            </w:r>
            <w:r>
              <w:rPr>
                <w:rFonts w:asciiTheme="minorEastAsia" w:eastAsiaTheme="minorEastAsia" w:hAnsiTheme="minorEastAsia"/>
                <w:spacing w:val="-1"/>
              </w:rPr>
              <w:t>日</w:t>
            </w:r>
          </w:p>
        </w:tc>
      </w:tr>
    </w:tbl>
    <w:p w14:paraId="24D8E57C" w14:textId="77777777" w:rsidR="00A208DC" w:rsidRDefault="00A208DC"/>
    <w:tbl>
      <w:tblPr>
        <w:tblStyle w:val="TableNormal"/>
        <w:tblW w:w="5000" w:type="pct"/>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8" w:space="0" w:color="auto"/>
        </w:tblBorders>
        <w:tblLook w:val="04A0" w:firstRow="1" w:lastRow="0" w:firstColumn="1" w:lastColumn="0" w:noHBand="0" w:noVBand="1"/>
      </w:tblPr>
      <w:tblGrid>
        <w:gridCol w:w="9720"/>
      </w:tblGrid>
      <w:tr w:rsidR="00A208DC" w14:paraId="32847FD6" w14:textId="77777777">
        <w:trPr>
          <w:trHeight w:val="127"/>
          <w:jc w:val="center"/>
        </w:trPr>
        <w:tc>
          <w:tcPr>
            <w:tcW w:w="5000" w:type="pct"/>
          </w:tcPr>
          <w:p w14:paraId="7D508D1A" w14:textId="77777777" w:rsidR="00A208DC" w:rsidRDefault="008C123E">
            <w:pPr>
              <w:spacing w:line="274" w:lineRule="auto"/>
              <w:rPr>
                <w:rFonts w:ascii="宋体" w:eastAsia="宋体" w:hAnsi="宋体"/>
                <w:b/>
                <w:bCs/>
                <w:sz w:val="20"/>
                <w:szCs w:val="20"/>
              </w:rPr>
            </w:pPr>
            <w:r>
              <w:rPr>
                <w:rFonts w:ascii="宋体" w:eastAsia="宋体" w:hAnsi="宋体"/>
                <w:b/>
                <w:bCs/>
                <w:sz w:val="20"/>
                <w:szCs w:val="20"/>
              </w:rPr>
              <w:t>《证券期货投资者适当性管理办法》第八条关于专业投资者的认定</w:t>
            </w:r>
          </w:p>
          <w:p w14:paraId="1642204D"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第八条 符合下列条件之一的是专业投资者：</w:t>
            </w:r>
          </w:p>
          <w:p w14:paraId="01DDD536"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一）经有关金融监管部门批准设立的金融机构，包括证券公司、期货公司、基金管理公司及其子公司、商业银行、保险公司、信托公司、财务公司等；经行业协会备案或者登记的证券公司子公司、期货公司子公司、私募基金管理人。</w:t>
            </w:r>
          </w:p>
          <w:p w14:paraId="364924AD"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（二）上述机构面向投资者发行的理财产品，包括但不限于证券公司资产管理产品、基金管理公司及其子公司产品、期货公司资产管理产品、银行理财产品、保险产品、信托产品、经行业协会备案的私募基金。</w:t>
            </w:r>
          </w:p>
          <w:p w14:paraId="2F10D333"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（三）社会保障基金、企业年金等养老基金，慈善基金等社会公益基金，合格境外机构投资者（QFII）、人民币合格境外机构投资者（RQFII）。</w:t>
            </w:r>
          </w:p>
          <w:p w14:paraId="3383078C"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（四）同时符合下列条件的法人或者其他组织：</w:t>
            </w:r>
          </w:p>
          <w:p w14:paraId="44C54C4B"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1.最近1年末净资产不低于2000万元；</w:t>
            </w:r>
          </w:p>
          <w:p w14:paraId="600CA931"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2.最近1年末金融资产不低于1000万元；</w:t>
            </w:r>
          </w:p>
          <w:p w14:paraId="60C3B5BC"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3.具有2年以上证券、基金、期货、黄金、外汇等投资经历。</w:t>
            </w:r>
          </w:p>
          <w:p w14:paraId="4F1FCD94"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（五）同时符合下列条件的自然人：</w:t>
            </w:r>
          </w:p>
          <w:p w14:paraId="121E9045"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1.金融资产不低于500万元，或者最近3年个人年均收入不低于50万元；</w:t>
            </w:r>
          </w:p>
          <w:p w14:paraId="399150F4" w14:textId="77777777"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2.具有2年以上证券、基金、期货、黄金、外汇等投资经历，或者具有2年以上金融产品设计、投资、风险管理及相关工作经历，或者属于本条第（一）项规定的专业投资者的高级管理人员、获得职业资格认证的从事金融相关业务的注册会计师和律师。</w:t>
            </w:r>
          </w:p>
          <w:p w14:paraId="5DB10418" w14:textId="6209E30C" w:rsidR="00A208DC" w:rsidRDefault="008C123E">
            <w:pPr>
              <w:spacing w:line="274" w:lineRule="auto"/>
              <w:ind w:firstLineChars="200" w:firstLine="400"/>
              <w:rPr>
                <w:rFonts w:ascii="宋体" w:eastAsia="宋体" w:hAnsi="宋体"/>
                <w:sz w:val="20"/>
                <w:szCs w:val="20"/>
              </w:rPr>
            </w:pPr>
            <w:r>
              <w:rPr>
                <w:rFonts w:ascii="宋体" w:eastAsia="宋体" w:hAnsi="宋体"/>
                <w:sz w:val="20"/>
                <w:szCs w:val="20"/>
              </w:rPr>
              <w:t>前款所称金融资产，是指银行存款、股票、债券、基金份额、资产管理计划、银行理财产品、信托计划、保险产品、期货及其他衍生产品等。</w:t>
            </w:r>
          </w:p>
        </w:tc>
      </w:tr>
    </w:tbl>
    <w:p w14:paraId="2028FD93" w14:textId="77777777" w:rsidR="00A208DC" w:rsidRDefault="00A208DC">
      <w:pPr>
        <w:pStyle w:val="a5"/>
        <w:spacing w:before="260" w:line="360" w:lineRule="auto"/>
        <w:rPr>
          <w:rFonts w:asciiTheme="minorEastAsia" w:eastAsiaTheme="minorEastAsia" w:hAnsiTheme="minorEastAsia"/>
          <w:b/>
          <w:vanish/>
        </w:rPr>
      </w:pPr>
    </w:p>
    <w:sectPr w:rsidR="00A208DC">
      <w:headerReference w:type="default" r:id="rId9"/>
      <w:footerReference w:type="default" r:id="rId10"/>
      <w:type w:val="continuous"/>
      <w:pgSz w:w="11910" w:h="16840"/>
      <w:pgMar w:top="1440" w:right="1080" w:bottom="1440" w:left="1080" w:header="992"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326E9A" w14:textId="77777777" w:rsidR="00FF3562" w:rsidRDefault="00FF3562">
      <w:r>
        <w:separator/>
      </w:r>
    </w:p>
  </w:endnote>
  <w:endnote w:type="continuationSeparator" w:id="0">
    <w:p w14:paraId="06E74DB8" w14:textId="77777777" w:rsidR="00FF3562" w:rsidRDefault="00FF3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oto Sans Mono CJK JP Regular">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UCLGTQ+ËÎÌå">
    <w:altName w:val="Segoe Print"/>
    <w:charset w:val="00"/>
    <w:family w:val="auto"/>
    <w:pitch w:val="default"/>
    <w:sig w:usb0="00000000" w:usb1="00000000" w:usb2="01010101" w:usb3="01010101" w:csb0="01010101" w:csb1="01010101"/>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0FACC" w14:textId="77777777" w:rsidR="00A208DC" w:rsidRDefault="008C123E">
    <w:pPr>
      <w:pStyle w:val="a8"/>
      <w:tabs>
        <w:tab w:val="center" w:pos="5233"/>
        <w:tab w:val="right" w:pos="10466"/>
      </w:tabs>
      <w:ind w:firstLineChars="150" w:firstLine="270"/>
    </w:pPr>
    <w:r>
      <w:rPr>
        <w:rFonts w:ascii="宋体" w:hAnsi="宋体" w:cs="宋体" w:hint="eastAsia"/>
        <w:color w:val="000000"/>
      </w:rPr>
      <w:t>地址：</w:t>
    </w:r>
    <w:r>
      <w:rPr>
        <w:rFonts w:ascii="宋体" w:hAnsi="宋体" w:cs="宋体"/>
        <w:color w:val="000000"/>
      </w:rPr>
      <w:t>深圳</w:t>
    </w:r>
    <w:r>
      <w:rPr>
        <w:rFonts w:ascii="UCLGTQ+ËÎÌå" w:hAnsi="UCLGTQ+ËÎÌå" w:cs="UCLGTQ+ËÎÌå"/>
        <w:color w:val="000000"/>
      </w:rPr>
      <w:t>市</w:t>
    </w:r>
    <w:r>
      <w:rPr>
        <w:rFonts w:ascii="宋体" w:hAnsi="宋体" w:cs="宋体"/>
        <w:color w:val="000000"/>
      </w:rPr>
      <w:t>福田</w:t>
    </w:r>
    <w:r>
      <w:rPr>
        <w:rFonts w:ascii="UCLGTQ+ËÎÌå" w:hAnsi="UCLGTQ+ËÎÌå" w:cs="UCLGTQ+ËÎÌå"/>
        <w:color w:val="000000"/>
      </w:rPr>
      <w:t>区</w:t>
    </w:r>
    <w:r>
      <w:rPr>
        <w:rFonts w:ascii="宋体" w:hAnsi="宋体" w:cs="宋体"/>
        <w:color w:val="000000"/>
      </w:rPr>
      <w:t>皇岗</w:t>
    </w:r>
    <w:r>
      <w:rPr>
        <w:rFonts w:ascii="UCLGTQ+ËÎÌå" w:hAnsi="UCLGTQ+ËÎÌå" w:cs="UCLGTQ+ËÎÌå"/>
        <w:color w:val="000000"/>
      </w:rPr>
      <w:t>路</w:t>
    </w:r>
    <w:r>
      <w:rPr>
        <w:rFonts w:ascii="Times New Roman"/>
        <w:color w:val="000000"/>
      </w:rPr>
      <w:t>5001</w:t>
    </w:r>
    <w:r>
      <w:rPr>
        <w:rFonts w:ascii="UCLGTQ+ËÎÌå" w:hAnsi="UCLGTQ+ËÎÌå" w:cs="UCLGTQ+ËÎÌå"/>
        <w:color w:val="000000"/>
      </w:rPr>
      <w:t>号</w:t>
    </w:r>
    <w:r>
      <w:rPr>
        <w:rFonts w:ascii="宋体" w:hAnsi="宋体" w:cs="宋体"/>
        <w:color w:val="000000"/>
      </w:rPr>
      <w:t>深业上城</w:t>
    </w:r>
    <w:r>
      <w:rPr>
        <w:rFonts w:ascii="宋体" w:hAnsi="宋体" w:cs="宋体"/>
        <w:color w:val="000000"/>
      </w:rPr>
      <w:t>T2</w:t>
    </w:r>
    <w:r>
      <w:rPr>
        <w:rFonts w:ascii="宋体" w:hAnsi="宋体" w:cs="宋体"/>
        <w:color w:val="000000"/>
      </w:rPr>
      <w:t>栋</w:t>
    </w:r>
    <w:r>
      <w:rPr>
        <w:rFonts w:ascii="Times New Roman"/>
        <w:color w:val="000000"/>
      </w:rPr>
      <w:t>4301</w:t>
    </w:r>
    <w:r>
      <w:rPr>
        <w:rFonts w:ascii="宋体" w:hAnsi="宋体" w:cs="宋体"/>
        <w:color w:val="000000"/>
      </w:rPr>
      <w:t>室</w:t>
    </w:r>
    <w:r>
      <w:rPr>
        <w:rFonts w:ascii="宋体" w:hAnsi="宋体" w:hint="eastAsia"/>
      </w:rPr>
      <w:t xml:space="preserve">                        </w:t>
    </w:r>
    <w:r>
      <w:rPr>
        <w:rFonts w:ascii="宋体" w:hAnsi="宋体"/>
      </w:rPr>
      <w:t xml:space="preserve">           </w:t>
    </w:r>
    <w:r>
      <w:rPr>
        <w:rFonts w:ascii="宋体" w:hAnsi="宋体" w:hint="eastAsia"/>
      </w:rPr>
      <w:t>传真：</w:t>
    </w:r>
    <w:r>
      <w:rPr>
        <w:rFonts w:ascii="宋体" w:hAnsi="宋体" w:hint="eastAsia"/>
      </w:rPr>
      <w:t>0755-29395889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2E282" w14:textId="77777777" w:rsidR="00FF3562" w:rsidRDefault="00FF3562">
      <w:r>
        <w:separator/>
      </w:r>
    </w:p>
  </w:footnote>
  <w:footnote w:type="continuationSeparator" w:id="0">
    <w:p w14:paraId="504D59B7" w14:textId="77777777" w:rsidR="00FF3562" w:rsidRDefault="00FF3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2316C" w14:textId="77777777" w:rsidR="00A208DC" w:rsidRDefault="008C123E">
    <w:pPr>
      <w:pStyle w:val="aa"/>
    </w:pPr>
    <w:r>
      <w:rPr>
        <w:noProof/>
        <w:lang w:val="en-US" w:bidi="ar-SA"/>
      </w:rPr>
      <w:drawing>
        <wp:anchor distT="0" distB="0" distL="114300" distR="114300" simplePos="0" relativeHeight="251658240" behindDoc="1" locked="0" layoutInCell="1" allowOverlap="1" wp14:anchorId="11E44757" wp14:editId="7D91806F">
          <wp:simplePos x="0" y="0"/>
          <wp:positionH relativeFrom="column">
            <wp:posOffset>45720</wp:posOffset>
          </wp:positionH>
          <wp:positionV relativeFrom="paragraph">
            <wp:posOffset>-66040</wp:posOffset>
          </wp:positionV>
          <wp:extent cx="1421130" cy="208915"/>
          <wp:effectExtent l="0" t="0" r="7620" b="63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21130" cy="208915"/>
                  </a:xfrm>
                  <a:prstGeom prst="rect">
                    <a:avLst/>
                  </a:prstGeom>
                  <a:noFill/>
                  <a:ln>
                    <a:noFill/>
                  </a:ln>
                </pic:spPr>
              </pic:pic>
            </a:graphicData>
          </a:graphic>
        </wp:anchor>
      </w:drawing>
    </w:r>
    <w:r>
      <w:ptab w:relativeTo="margin" w:alignment="center" w:leader="none"/>
    </w:r>
    <w:r>
      <w:ptab w:relativeTo="margin" w:alignment="right" w:leader="none"/>
    </w:r>
    <w:r>
      <w:rPr>
        <w:rFonts w:ascii="宋体" w:eastAsia="宋体" w:hAnsi="宋体" w:cs="宋体" w:hint="eastAsia"/>
      </w:rPr>
      <w:t>专业投资者资格认定告知及确认书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86458"/>
    <w:multiLevelType w:val="multilevel"/>
    <w:tmpl w:val="1268645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trackRevisions/>
  <w:defaultTabStop w:val="720"/>
  <w:evenAndOddHeaders/>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386"/>
    <w:rsid w:val="00001AF8"/>
    <w:rsid w:val="00014074"/>
    <w:rsid w:val="000415C0"/>
    <w:rsid w:val="00043380"/>
    <w:rsid w:val="0006789B"/>
    <w:rsid w:val="0007747B"/>
    <w:rsid w:val="000B2893"/>
    <w:rsid w:val="000D035E"/>
    <w:rsid w:val="000D4617"/>
    <w:rsid w:val="00121DB3"/>
    <w:rsid w:val="00136F04"/>
    <w:rsid w:val="0016295A"/>
    <w:rsid w:val="00195A85"/>
    <w:rsid w:val="001E1ADD"/>
    <w:rsid w:val="001E22F7"/>
    <w:rsid w:val="001E2E3D"/>
    <w:rsid w:val="001E703A"/>
    <w:rsid w:val="00210789"/>
    <w:rsid w:val="00231CA5"/>
    <w:rsid w:val="00250A7A"/>
    <w:rsid w:val="002650C2"/>
    <w:rsid w:val="002C3A6E"/>
    <w:rsid w:val="002D0E5A"/>
    <w:rsid w:val="002E0509"/>
    <w:rsid w:val="0030122C"/>
    <w:rsid w:val="00307066"/>
    <w:rsid w:val="00371735"/>
    <w:rsid w:val="00383E76"/>
    <w:rsid w:val="004028C2"/>
    <w:rsid w:val="004125C7"/>
    <w:rsid w:val="00414627"/>
    <w:rsid w:val="0043060C"/>
    <w:rsid w:val="00436078"/>
    <w:rsid w:val="00463530"/>
    <w:rsid w:val="0048723D"/>
    <w:rsid w:val="00495643"/>
    <w:rsid w:val="004C226D"/>
    <w:rsid w:val="004D60B5"/>
    <w:rsid w:val="004D7746"/>
    <w:rsid w:val="00505E4F"/>
    <w:rsid w:val="005100C8"/>
    <w:rsid w:val="00532291"/>
    <w:rsid w:val="00556915"/>
    <w:rsid w:val="005632BB"/>
    <w:rsid w:val="005815D3"/>
    <w:rsid w:val="005A596D"/>
    <w:rsid w:val="00625D01"/>
    <w:rsid w:val="0069508B"/>
    <w:rsid w:val="006A2B2C"/>
    <w:rsid w:val="006A5092"/>
    <w:rsid w:val="006A6BCC"/>
    <w:rsid w:val="006E73D2"/>
    <w:rsid w:val="00705E7F"/>
    <w:rsid w:val="007101C6"/>
    <w:rsid w:val="00712F2C"/>
    <w:rsid w:val="007229A3"/>
    <w:rsid w:val="00742C6C"/>
    <w:rsid w:val="007656C5"/>
    <w:rsid w:val="00771D4A"/>
    <w:rsid w:val="00780204"/>
    <w:rsid w:val="0078316E"/>
    <w:rsid w:val="007B47DE"/>
    <w:rsid w:val="007D07C6"/>
    <w:rsid w:val="00815D5A"/>
    <w:rsid w:val="00820F09"/>
    <w:rsid w:val="00826ED4"/>
    <w:rsid w:val="008602B6"/>
    <w:rsid w:val="008658C9"/>
    <w:rsid w:val="00874CA4"/>
    <w:rsid w:val="008B62C2"/>
    <w:rsid w:val="008C123E"/>
    <w:rsid w:val="00915A8F"/>
    <w:rsid w:val="00927954"/>
    <w:rsid w:val="00934791"/>
    <w:rsid w:val="009847F1"/>
    <w:rsid w:val="009875CE"/>
    <w:rsid w:val="009B2024"/>
    <w:rsid w:val="009C2007"/>
    <w:rsid w:val="009F5A12"/>
    <w:rsid w:val="00A208DC"/>
    <w:rsid w:val="00A21859"/>
    <w:rsid w:val="00A21FCE"/>
    <w:rsid w:val="00A23EDC"/>
    <w:rsid w:val="00A74F61"/>
    <w:rsid w:val="00AA0097"/>
    <w:rsid w:val="00AA4D45"/>
    <w:rsid w:val="00AD3ACD"/>
    <w:rsid w:val="00AD5B2A"/>
    <w:rsid w:val="00AF134E"/>
    <w:rsid w:val="00AF26F7"/>
    <w:rsid w:val="00B0261B"/>
    <w:rsid w:val="00B83301"/>
    <w:rsid w:val="00BD4386"/>
    <w:rsid w:val="00BD53EA"/>
    <w:rsid w:val="00BF529A"/>
    <w:rsid w:val="00C13420"/>
    <w:rsid w:val="00C30B85"/>
    <w:rsid w:val="00C75944"/>
    <w:rsid w:val="00C815A6"/>
    <w:rsid w:val="00C92287"/>
    <w:rsid w:val="00CA7763"/>
    <w:rsid w:val="00CB0478"/>
    <w:rsid w:val="00CC799B"/>
    <w:rsid w:val="00CF0881"/>
    <w:rsid w:val="00CF6A3A"/>
    <w:rsid w:val="00D15A2E"/>
    <w:rsid w:val="00D2580A"/>
    <w:rsid w:val="00D51A84"/>
    <w:rsid w:val="00D5345B"/>
    <w:rsid w:val="00D65548"/>
    <w:rsid w:val="00D8596F"/>
    <w:rsid w:val="00DE7869"/>
    <w:rsid w:val="00E04BA3"/>
    <w:rsid w:val="00E066DC"/>
    <w:rsid w:val="00E13471"/>
    <w:rsid w:val="00E47CAE"/>
    <w:rsid w:val="00E66579"/>
    <w:rsid w:val="00ED1A78"/>
    <w:rsid w:val="00EF56D3"/>
    <w:rsid w:val="00EF77B7"/>
    <w:rsid w:val="00F25857"/>
    <w:rsid w:val="00F33914"/>
    <w:rsid w:val="00F35D82"/>
    <w:rsid w:val="00F47F01"/>
    <w:rsid w:val="00F56386"/>
    <w:rsid w:val="00F65019"/>
    <w:rsid w:val="00F67BBA"/>
    <w:rsid w:val="00FB5A7E"/>
    <w:rsid w:val="00FE67D2"/>
    <w:rsid w:val="00FF3562"/>
    <w:rsid w:val="03302D74"/>
    <w:rsid w:val="24C6071B"/>
    <w:rsid w:val="337B410D"/>
    <w:rsid w:val="345E750D"/>
    <w:rsid w:val="40606D33"/>
    <w:rsid w:val="41644383"/>
    <w:rsid w:val="48CF0356"/>
    <w:rsid w:val="4FAF1DE2"/>
    <w:rsid w:val="6F871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766BE"/>
  <w15:docId w15:val="{952333D7-338E-428C-9699-F15805F7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Noto Sans Mono CJK JP Regular" w:eastAsia="Noto Sans Mono CJK JP Regular" w:hAnsi="Noto Sans Mono CJK JP Regular" w:cs="Noto Sans Mono CJK JP Regular"/>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style>
  <w:style w:type="paragraph" w:styleId="a5">
    <w:name w:val="Body Text"/>
    <w:basedOn w:val="a"/>
    <w:uiPriority w:val="1"/>
    <w:qFormat/>
    <w:rPr>
      <w:sz w:val="28"/>
      <w:szCs w:val="28"/>
    </w:rPr>
  </w:style>
  <w:style w:type="paragraph" w:styleId="a6">
    <w:name w:val="Balloon Text"/>
    <w:basedOn w:val="a"/>
    <w:link w:val="a7"/>
    <w:uiPriority w:val="99"/>
    <w:semiHidden/>
    <w:unhideWhenUsed/>
    <w:rPr>
      <w:sz w:val="18"/>
      <w:szCs w:val="18"/>
    </w:rPr>
  </w:style>
  <w:style w:type="paragraph" w:styleId="a8">
    <w:name w:val="footer"/>
    <w:basedOn w:val="a"/>
    <w:link w:val="a9"/>
    <w:uiPriority w:val="99"/>
    <w:unhideWhenUsed/>
    <w:pPr>
      <w:tabs>
        <w:tab w:val="center" w:pos="4153"/>
        <w:tab w:val="right" w:pos="8306"/>
      </w:tabs>
      <w:snapToGrid w:val="0"/>
    </w:pPr>
    <w:rPr>
      <w:sz w:val="18"/>
      <w:szCs w:val="18"/>
    </w:rPr>
  </w:style>
  <w:style w:type="paragraph" w:styleId="aa">
    <w:name w:val="header"/>
    <w:basedOn w:val="a"/>
    <w:link w:val="ab"/>
    <w:uiPriority w:val="99"/>
    <w:unhideWhenUsed/>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unhideWhenUsed/>
    <w:qFormat/>
    <w:pPr>
      <w:spacing w:after="120"/>
      <w:ind w:leftChars="200" w:left="420"/>
    </w:pPr>
    <w:rPr>
      <w:sz w:val="16"/>
      <w:szCs w:val="16"/>
    </w:rPr>
  </w:style>
  <w:style w:type="paragraph" w:styleId="ac">
    <w:name w:val="annotation subject"/>
    <w:basedOn w:val="a3"/>
    <w:next w:val="a3"/>
    <w:link w:val="ad"/>
    <w:uiPriority w:val="99"/>
    <w:semiHidden/>
    <w:unhideWhenUsed/>
    <w:qFormat/>
    <w:rPr>
      <w:b/>
      <w:bCs/>
    </w:rPr>
  </w:style>
  <w:style w:type="character" w:styleId="ae">
    <w:name w:val="FollowedHyperlink"/>
    <w:basedOn w:val="a0"/>
    <w:uiPriority w:val="99"/>
    <w:semiHidden/>
    <w:unhideWhenUsed/>
    <w:qFormat/>
    <w:rPr>
      <w:color w:val="000000"/>
      <w:u w:val="none"/>
    </w:rPr>
  </w:style>
  <w:style w:type="character" w:styleId="af">
    <w:name w:val="Hyperlink"/>
    <w:basedOn w:val="a0"/>
    <w:uiPriority w:val="99"/>
    <w:semiHidden/>
    <w:unhideWhenUsed/>
    <w:qFormat/>
    <w:rPr>
      <w:rFonts w:ascii="Arial" w:hAnsi="Arial" w:cs="Arial"/>
      <w:color w:val="000000"/>
      <w:u w:val="none"/>
    </w:rPr>
  </w:style>
  <w:style w:type="character" w:styleId="af0">
    <w:name w:val="annotation reference"/>
    <w:basedOn w:val="a0"/>
    <w:uiPriority w:val="99"/>
    <w:semiHidden/>
    <w:unhideWhenUsed/>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1">
    <w:name w:val="List Paragraph"/>
    <w:basedOn w:val="a"/>
    <w:uiPriority w:val="1"/>
    <w:qFormat/>
  </w:style>
  <w:style w:type="paragraph" w:customStyle="1" w:styleId="TableParagraph">
    <w:name w:val="Table Paragraph"/>
    <w:basedOn w:val="a"/>
    <w:uiPriority w:val="1"/>
    <w:qFormat/>
  </w:style>
  <w:style w:type="character" w:customStyle="1" w:styleId="ab">
    <w:name w:val="页眉 字符"/>
    <w:basedOn w:val="a0"/>
    <w:link w:val="aa"/>
    <w:uiPriority w:val="99"/>
    <w:qFormat/>
    <w:rPr>
      <w:rFonts w:ascii="Noto Sans Mono CJK JP Regular" w:eastAsia="Noto Sans Mono CJK JP Regular" w:hAnsi="Noto Sans Mono CJK JP Regular" w:cs="Noto Sans Mono CJK JP Regular"/>
      <w:sz w:val="18"/>
      <w:szCs w:val="18"/>
      <w:lang w:val="zh-CN" w:eastAsia="zh-CN" w:bidi="zh-CN"/>
    </w:rPr>
  </w:style>
  <w:style w:type="character" w:customStyle="1" w:styleId="a9">
    <w:name w:val="页脚 字符"/>
    <w:basedOn w:val="a0"/>
    <w:link w:val="a8"/>
    <w:uiPriority w:val="99"/>
    <w:qFormat/>
    <w:rPr>
      <w:rFonts w:ascii="Noto Sans Mono CJK JP Regular" w:eastAsia="Noto Sans Mono CJK JP Regular" w:hAnsi="Noto Sans Mono CJK JP Regular" w:cs="Noto Sans Mono CJK JP Regular"/>
      <w:sz w:val="18"/>
      <w:szCs w:val="18"/>
      <w:lang w:val="zh-CN" w:eastAsia="zh-CN" w:bidi="zh-CN"/>
    </w:rPr>
  </w:style>
  <w:style w:type="character" w:customStyle="1" w:styleId="Char">
    <w:name w:val="页脚 Char"/>
    <w:basedOn w:val="a0"/>
    <w:uiPriority w:val="99"/>
    <w:qFormat/>
  </w:style>
  <w:style w:type="paragraph" w:customStyle="1" w:styleId="Default">
    <w:name w:val="Default"/>
    <w:qFormat/>
    <w:pPr>
      <w:widowControl w:val="0"/>
      <w:autoSpaceDE w:val="0"/>
      <w:autoSpaceDN w:val="0"/>
      <w:adjustRightInd w:val="0"/>
      <w:spacing w:line="240" w:lineRule="atLeast"/>
    </w:pPr>
    <w:rPr>
      <w:rFonts w:ascii="宋体" w:cs="宋体"/>
      <w:color w:val="000000"/>
      <w:sz w:val="24"/>
      <w:szCs w:val="24"/>
    </w:rPr>
  </w:style>
  <w:style w:type="character" w:customStyle="1" w:styleId="a7">
    <w:name w:val="批注框文本 字符"/>
    <w:basedOn w:val="a0"/>
    <w:link w:val="a6"/>
    <w:uiPriority w:val="99"/>
    <w:semiHidden/>
    <w:qFormat/>
    <w:rPr>
      <w:rFonts w:ascii="Noto Sans Mono CJK JP Regular" w:eastAsia="Noto Sans Mono CJK JP Regular" w:hAnsi="Noto Sans Mono CJK JP Regular" w:cs="Noto Sans Mono CJK JP Regular"/>
      <w:sz w:val="18"/>
      <w:szCs w:val="18"/>
      <w:lang w:val="zh-CN" w:bidi="zh-CN"/>
    </w:rPr>
  </w:style>
  <w:style w:type="character" w:customStyle="1" w:styleId="30">
    <w:name w:val="正文文本缩进 3 字符"/>
    <w:basedOn w:val="a0"/>
    <w:link w:val="3"/>
    <w:qFormat/>
    <w:rPr>
      <w:rFonts w:ascii="Noto Sans Mono CJK JP Regular" w:eastAsia="Noto Sans Mono CJK JP Regular" w:hAnsi="Noto Sans Mono CJK JP Regular" w:cs="Noto Sans Mono CJK JP Regular"/>
      <w:sz w:val="16"/>
      <w:szCs w:val="16"/>
      <w:lang w:val="zh-CN" w:bidi="zh-CN"/>
    </w:rPr>
  </w:style>
  <w:style w:type="character" w:customStyle="1" w:styleId="a4">
    <w:name w:val="批注文字 字符"/>
    <w:basedOn w:val="a0"/>
    <w:link w:val="a3"/>
    <w:uiPriority w:val="99"/>
    <w:semiHidden/>
    <w:qFormat/>
    <w:rPr>
      <w:rFonts w:ascii="Noto Sans Mono CJK JP Regular" w:eastAsia="Noto Sans Mono CJK JP Regular" w:hAnsi="Noto Sans Mono CJK JP Regular" w:cs="Noto Sans Mono CJK JP Regular"/>
      <w:sz w:val="22"/>
      <w:szCs w:val="22"/>
      <w:lang w:val="zh-CN" w:bidi="zh-CN"/>
    </w:rPr>
  </w:style>
  <w:style w:type="character" w:customStyle="1" w:styleId="ad">
    <w:name w:val="批注主题 字符"/>
    <w:basedOn w:val="a4"/>
    <w:link w:val="ac"/>
    <w:uiPriority w:val="99"/>
    <w:semiHidden/>
    <w:qFormat/>
    <w:rPr>
      <w:rFonts w:ascii="Noto Sans Mono CJK JP Regular" w:eastAsia="Noto Sans Mono CJK JP Regular" w:hAnsi="Noto Sans Mono CJK JP Regular" w:cs="Noto Sans Mono CJK JP Regular"/>
      <w:b/>
      <w:bCs/>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1B7193-134E-420C-8A91-4F54C18D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214</Words>
  <Characters>1223</Characters>
  <Application>Microsoft Office Word</Application>
  <DocSecurity>0</DocSecurity>
  <Lines>10</Lines>
  <Paragraphs>2</Paragraphs>
  <ScaleCrop>false</ScaleCrop>
  <Company>Sky123.Org</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林凤仪</cp:lastModifiedBy>
  <cp:revision>13</cp:revision>
  <cp:lastPrinted>2021-03-01T06:33:00Z</cp:lastPrinted>
  <dcterms:created xsi:type="dcterms:W3CDTF">2020-08-04T13:22:00Z</dcterms:created>
  <dcterms:modified xsi:type="dcterms:W3CDTF">2021-03-01T07:37:00Z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2017-06-27T00:00:00Z</vt:filetime>
  </property>
  <property fmtid="{D5CDD505-2E9C-101B-9397-08002B2CF9AE}" pid="3" name="Creator">
    <vt:lpwstr>Microsoft® Excel® 2010</vt:lpwstr>
  </property>
  <property fmtid="{D5CDD505-2E9C-101B-9397-08002B2CF9AE}" pid="4" name="LastSaved">
    <vt:filetime>2019-04-19T00:00:00Z</vt:filetime>
  </property>
  <property fmtid="{D5CDD505-2E9C-101B-9397-08002B2CF9AE}" pid="5" name="KSOProductBuildVer">
    <vt:lpwstr>2052-11.1.0.9339</vt:lpwstr>
  </property>
</Properties>
</file>